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6490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ligh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49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1A56DB"/>
          <w:sz w:val="56"/>
        </w:rPr>
        <w:t>ИТОГИ РАБОТЫ КОМПАНИИ</w:t>
        <w:br/>
        <w:t>ЗА 2025 ГОД</w:t>
      </w:r>
    </w:p>
    <w:p>
      <w:pPr>
        <w:jc w:val="center"/>
      </w:pPr>
      <w:r>
        <w:rPr>
          <w:color w:val="6B7280"/>
          <w:sz w:val="28"/>
        </w:rPr>
        <w:t>ООО «Леком» — с 1992 года на рынке IT-решений для печати</w:t>
      </w:r>
    </w:p>
    <w:p>
      <w:r>
        <w:br w:type="page"/>
      </w:r>
    </w:p>
    <w:p>
      <w:pPr>
        <w:pStyle w:val="Heading1"/>
      </w:pPr>
      <w:r>
        <w:t>1. Общие результаты компании</w:t>
      </w:r>
    </w:p>
    <w:p>
      <w:r>
        <w:t>В 2025 году ООО «Леком» продемонстрировало значительный рост по всем ключевым направлениям деятельности. Общая выручка выросла на 29% и достигла 700 млн руб. Особенно сильную динамику показало направление аутсорсинга печати — отгрузка аппаратов выросла в 3,3 раза.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Общая выручка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542,6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699,9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+29%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Валовая прибыль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251,4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265,2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+5,5%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Выручка от сервиса (Классика + Аутсорсинг)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293,5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359,9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+22,6%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Аппараты отгружены в аутсорсинг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213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698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+327%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Картриджи отгружены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7 436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7 692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+3,4%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ФОТ продаж / Выручка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5,7%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4,3%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-1,4 п.п.</w:t>
            </w:r>
          </w:p>
        </w:tc>
      </w:tr>
    </w:tbl>
    <w:p/>
    <w:p>
      <w:pPr>
        <w:pStyle w:val="Heading1"/>
      </w:pPr>
      <w:r>
        <w:t>2. Отдел продаж</w:t>
      </w:r>
    </w:p>
    <w:p>
      <w:pPr>
        <w:pStyle w:val="Heading2"/>
      </w:pPr>
      <w:r>
        <w:t>2.1. Финансовые результаты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Выручка Аутсорсинг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262,3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316,7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+20,8% (доля 45,2%)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Выручка Классика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31,2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43,2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+38,2% (доля 6,2%)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Выручка Прочее (оборуд., ПО)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101,3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164,7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+62,6%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Выручка без привязки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147,9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175,4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+18,6%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ИТОГО выручка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542,6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699,9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+29,0%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ИТОГО валовая прибыль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251,4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265,2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+5,5%</w:t>
            </w:r>
          </w:p>
        </w:tc>
      </w:tr>
    </w:tbl>
    <w:p/>
    <w:p>
      <w:pPr>
        <w:pStyle w:val="Heading2"/>
      </w:pPr>
      <w:r>
        <w:t>2.2. Крупнейшие сделки 2025</w:t>
      </w:r>
    </w:p>
    <w:p>
      <w:pPr>
        <w:pStyle w:val="ListBullet"/>
      </w:pPr>
      <w:r>
        <w:t>СИБУР (Тулюгенев) — поставка ноутбуков: 61 027 607 руб.</w:t>
      </w:r>
    </w:p>
    <w:p>
      <w:pPr>
        <w:pStyle w:val="ListBullet"/>
      </w:pPr>
      <w:r>
        <w:t>ПСБ (Голофеевский) — принтеры и МФУ FPlus: 16 180 500 руб.</w:t>
      </w:r>
    </w:p>
    <w:p>
      <w:pPr>
        <w:pStyle w:val="ListBullet"/>
      </w:pPr>
      <w:r>
        <w:t>Гимназия им. Примакова (Меньшаков) — расходные материалы: 12 800 000 руб.</w:t>
      </w:r>
    </w:p>
    <w:p>
      <w:pPr>
        <w:pStyle w:val="ListBullet"/>
      </w:pPr>
      <w:r>
        <w:t>Гипротяжмаш (Меньшаков) — OCE ColorWave 3800: 10 736 180 руб.</w:t>
      </w:r>
    </w:p>
    <w:p>
      <w:pPr>
        <w:pStyle w:val="ListBullet"/>
      </w:pPr>
      <w:r>
        <w:t>Водоканал СПб (Шенгелия) — QUADIENT DS-77iQ: 9 645 000 руб.</w:t>
      </w:r>
    </w:p>
    <w:p>
      <w:pPr>
        <w:pStyle w:val="ListBullet"/>
      </w:pPr>
      <w:r>
        <w:t>ВНИИИМТ Росздравнадзора (Нурягдыев) — комплекс VIAR 1.1.7: 7 231 573 руб.</w:t>
      </w:r>
    </w:p>
    <w:p>
      <w:pPr>
        <w:pStyle w:val="Heading2"/>
      </w:pPr>
      <w:r>
        <w:t>2.3. Необычные поставки — новые продукты и направления</w:t>
      </w:r>
    </w:p>
    <w:p>
      <w:r>
        <w:t>Компания расширила продуктовый портфель: поставлено почтовое оборудование QUADIENT, программно-аппаратный комплекс VIAR для Росздравнадзора, активно продвигаются решения FPlus и Катюша в рамках импортозамещения.</w:t>
      </w:r>
    </w:p>
    <w:p>
      <w:pPr>
        <w:pStyle w:val="Heading2"/>
      </w:pPr>
      <w:r>
        <w:t>2.4. Воронка холодных продаж — Росатом и крупные холдинги</w:t>
      </w:r>
    </w:p>
    <w:p>
      <w:r>
        <w:t>В 2025 году проведено 20+ встреч с предприятиями экосистемы Росатома и других крупных холдингов. Все проекты имеют длительный цикл сделки (6-18 месяцев). Ниже — резюме по дивизионам:</w:t>
      </w:r>
    </w:p>
    <w:p>
      <w:pPr>
        <w:pStyle w:val="Heading3"/>
      </w:pPr>
      <w:r>
        <w:t>ЯОК (ядерный оружейный комплекс) — 3 клиента</w:t>
      </w:r>
    </w:p>
    <w:p>
      <w:pPr>
        <w:pStyle w:val="ListBullet"/>
      </w:pPr>
      <w:r>
        <w:t>РФЯЦ-ВНИИЭФ — 200+ аппаратов, плоттеры. Презентация направлена, ожидается 2-й раунд переговоров.</w:t>
      </w:r>
    </w:p>
    <w:p>
      <w:pPr>
        <w:pStyle w:val="ListBullet"/>
      </w:pPr>
      <w:r>
        <w:t>Обеспечение РФЯЦ — 200 принтеров, 6 предприятий. Ожидание ТЗ на конкурс 2026.</w:t>
      </w:r>
    </w:p>
    <w:p>
      <w:pPr>
        <w:pStyle w:val="ListBullet"/>
      </w:pPr>
      <w:r>
        <w:t>Комбинат Электрохимприбор (ЗАТО) — крупный парк. Запрос на ПК, МФУ, ноутбуки.</w:t>
      </w:r>
    </w:p>
    <w:p>
      <w:pPr>
        <w:pStyle w:val="Heading3"/>
      </w:pPr>
      <w:r>
        <w:t>Топливный дивизион — 3 клиента</w:t>
      </w:r>
    </w:p>
    <w:p>
      <w:pPr>
        <w:pStyle w:val="ListBullet"/>
      </w:pPr>
      <w:r>
        <w:t>АЭХК (Ангарск) — 30 аутсорс + 200 своих аппаратов. Цель: полный переход на аутсорсинг.</w:t>
      </w:r>
    </w:p>
    <w:p>
      <w:pPr>
        <w:pStyle w:val="ListBullet"/>
      </w:pPr>
      <w:r>
        <w:t>УЭХК (Новоуральск) — заводоуправление. Аутсорсинг на 2027, условие — взять на себя сеть и ПК.</w:t>
      </w:r>
    </w:p>
    <w:p>
      <w:pPr>
        <w:pStyle w:val="ListBullet"/>
      </w:pPr>
      <w:r>
        <w:t>ПО ЭХЗ — 1000 принтеров. Спецоборудование для пропускных бланков (ОКИ C650dn).</w:t>
      </w:r>
    </w:p>
    <w:p>
      <w:pPr>
        <w:pStyle w:val="Heading3"/>
      </w:pPr>
      <w:r>
        <w:t>Электроэнергетический дивизион — 2 клиента</w:t>
      </w:r>
    </w:p>
    <w:p>
      <w:pPr>
        <w:pStyle w:val="ListBullet"/>
      </w:pPr>
      <w:r>
        <w:t>Балаковская АЭС — ~2000 устройств, зоопарк техники, нет сервиса. Пилот аутсорсинга в офисных корпусах. Клиент оценивает предложение.</w:t>
      </w:r>
    </w:p>
    <w:p>
      <w:pPr>
        <w:pStyle w:val="ListBullet"/>
      </w:pPr>
      <w:r>
        <w:t>ЭО ЗАЭС — входящий запрос на Пантумы, в работе.</w:t>
      </w:r>
    </w:p>
    <w:p>
      <w:pPr>
        <w:pStyle w:val="Heading3"/>
      </w:pPr>
      <w:r>
        <w:t>Прочие дивизионы Росатома — 8 клиентов</w:t>
      </w:r>
    </w:p>
    <w:p>
      <w:pPr>
        <w:pStyle w:val="ListBullet"/>
      </w:pPr>
      <w:r>
        <w:t>ИРМ (Наука) — 300 аппаратов, нужен регулярный сервис. В работе.</w:t>
      </w:r>
    </w:p>
    <w:p>
      <w:pPr>
        <w:pStyle w:val="ListBullet"/>
      </w:pPr>
      <w:r>
        <w:t>НИИТФА (Наука) — 70 аппаратов, плачевное состояние. Покопийка + мониторинг.</w:t>
      </w:r>
    </w:p>
    <w:p>
      <w:pPr>
        <w:pStyle w:val="ListBullet"/>
      </w:pPr>
      <w:r>
        <w:t>Алабуга-Волокно (Композитный) — 43 МФУ, система контроля под Астра Линукс.</w:t>
      </w:r>
    </w:p>
    <w:p>
      <w:pPr>
        <w:pStyle w:val="ListBullet"/>
      </w:pPr>
      <w:r>
        <w:t>НИКИМТ-Атомстрой (Инжиниринг) — 260+ устройств, аудит в 2026, классика на широкоформатку.</w:t>
      </w:r>
    </w:p>
    <w:p>
      <w:pPr>
        <w:pStyle w:val="ListBullet"/>
      </w:pPr>
      <w:r>
        <w:t>Росатом Недра (Горнорудный) — 50 устройств, аутсорсинг 5 лет, расчёт ведётся.</w:t>
      </w:r>
    </w:p>
    <w:p>
      <w:pPr>
        <w:pStyle w:val="ListBullet"/>
      </w:pPr>
      <w:r>
        <w:t>ОДЦ Угр (Экол. решения) — А4+А3+А0, представлены варианты обслуживания.</w:t>
      </w:r>
    </w:p>
    <w:p>
      <w:pPr>
        <w:pStyle w:val="ListBullet"/>
      </w:pPr>
      <w:r>
        <w:t>Атомфлот — 500 устройств, 10 судов. Аренда Катюш, ИБ — возврат к теме в апреле.</w:t>
      </w:r>
    </w:p>
    <w:p>
      <w:pPr>
        <w:pStyle w:val="ListBullet"/>
      </w:pPr>
      <w:r>
        <w:t>НПО ЦНИИТМаш (Машиностр.) — 100+ А4, 12 А3. Регулярное ТО, согласование стоимости.</w:t>
      </w:r>
    </w:p>
    <w:p>
      <w:pPr>
        <w:pStyle w:val="Heading3"/>
      </w:pPr>
      <w:r>
        <w:t>Другие холдинги</w:t>
      </w:r>
    </w:p>
    <w:p>
      <w:pPr>
        <w:pStyle w:val="ListBullet"/>
      </w:pPr>
      <w:r>
        <w:t>Транснефть — 4 филиала (Север, Прикамье, Зап. Сибирь, Урал). Переговоры март-май 2026. Потенциал: инженерные системы + покопийка.</w:t>
      </w:r>
    </w:p>
    <w:p>
      <w:pPr>
        <w:pStyle w:val="ListBullet"/>
      </w:pPr>
      <w:r>
        <w:t>ВНИПИпромтехнологии — MyQ Sharp + техподдержка.</w:t>
      </w:r>
    </w:p>
    <w:p>
      <w:pPr>
        <w:pStyle w:val="ListBullet"/>
      </w:pPr>
      <w:r>
        <w:t>СКЦ Росатома — плоттер + СПСИ для помещения с гостайной (бюджет 400К).</w:t>
      </w:r>
    </w:p>
    <w:p>
      <w:pPr>
        <w:pStyle w:val="ListBullet"/>
      </w:pPr>
      <w:r>
        <w:t>Росатом Зарубежная генерация — 17 А3, покопийка, импортозамещение к 2027.</w:t>
      </w:r>
    </w:p>
    <w:p>
      <w:pPr>
        <w:pStyle w:val="Heading2"/>
      </w:pPr>
      <w:r>
        <w:t>2.5. Перспективы 2026</w:t>
      </w:r>
    </w:p>
    <w:p>
      <w:pPr>
        <w:pStyle w:val="ListBullet"/>
      </w:pPr>
      <w:r>
        <w:t>Транснефть Север — инженерная система + плоттер на 10 млн (март 2026)</w:t>
      </w:r>
    </w:p>
    <w:p>
      <w:pPr>
        <w:pStyle w:val="ListBullet"/>
      </w:pPr>
      <w:r>
        <w:t>ГК Ростех (РТ Информ) — проекты РТ Сити и ПАО ОАК</w:t>
      </w:r>
    </w:p>
    <w:p>
      <w:pPr>
        <w:pStyle w:val="ListBullet"/>
      </w:pPr>
      <w:r>
        <w:t>Роструд — пилотные проекты в Санкт-Петербурге и Уфе</w:t>
      </w:r>
    </w:p>
    <w:p>
      <w:pPr>
        <w:pStyle w:val="ListBullet"/>
      </w:pPr>
      <w:r>
        <w:t>Росавиация — через Вегу, инфраструктура аэропортов</w:t>
      </w:r>
    </w:p>
    <w:p>
      <w:pPr>
        <w:pStyle w:val="ListBullet"/>
      </w:pPr>
      <w:r>
        <w:t>Правительство Якутии — 8 аудитов ИОГВ, 15 встреч</w:t>
      </w:r>
    </w:p>
    <w:p>
      <w:pPr>
        <w:pStyle w:val="ListBullet"/>
      </w:pPr>
      <w:r>
        <w:t>Алекс Асу и ERG — совместное учредительство, аутсорсинг + поставки</w:t>
      </w:r>
    </w:p>
    <w:p>
      <w:pPr>
        <w:pStyle w:val="ListBullet"/>
      </w:pPr>
      <w:r>
        <w:t>ВУЗы и колледжи Москвы и СПб</w:t>
      </w:r>
    </w:p>
    <w:p>
      <w:pPr>
        <w:pStyle w:val="Heading2"/>
      </w:pPr>
      <w:r>
        <w:t>2.6. ФОТ отдела продаж</w:t>
      </w:r>
    </w:p>
    <w:p>
      <w:r>
        <w:t>ФОТ продаж снизился на 3,3% при росте выручки на 29%. Доля ФОТ в выручке сократилась с 5,7% до 4,3%. Общий ФОТ компании (AVA + МН): 184,7 млн руб. (+28,2% к 2024).</w:t>
      </w:r>
    </w:p>
    <w:p>
      <w:pPr>
        <w:pStyle w:val="Heading1"/>
      </w:pPr>
      <w:r>
        <w:t>3. Управление сопровождением проектов</w:t>
      </w:r>
    </w:p>
    <w:p>
      <w:pPr>
        <w:pStyle w:val="Heading2"/>
      </w:pPr>
      <w:r>
        <w:t>3.1. Ключевые показатели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Проекты запущены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14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15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Аппараты в аутсорсинг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213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698 ед.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+327%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Сторонние услуги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282 ед. / 5,0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383 ед. / 10,2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+105% по сумме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Картриджи отгружены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7 436 ед. / 80,7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7 692 ед. / 76,9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+3% ед. / -5% сумма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Счета за сервис (Классика + Аутсорсинг)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1 652 шт. / 275,7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1 676 шт. / 324,3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+17,6% по сумме</w:t>
            </w:r>
          </w:p>
        </w:tc>
      </w:tr>
    </w:tbl>
    <w:p/>
    <w:p>
      <w:pPr>
        <w:pStyle w:val="Heading2"/>
      </w:pPr>
      <w:r>
        <w:t>3.2. Структура картриджей 2025 (шт.)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Оригинал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4 997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5 813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+16,3%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Леком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474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903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+90,5%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G&amp;G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1 851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775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-58,1%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Прочий неоригинал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114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201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+76,3%</w:t>
            </w:r>
          </w:p>
        </w:tc>
      </w:tr>
    </w:tbl>
    <w:p/>
    <w:p>
      <w:r>
        <w:t>Рост собственного бренда «Леком» почти в 2 раза. Сокращение G&amp;G компенсировано увеличением доли оригинала и бренда Леком.</w:t>
      </w:r>
    </w:p>
    <w:p>
      <w:pPr>
        <w:pStyle w:val="Heading2"/>
      </w:pPr>
      <w:r>
        <w:t>3.3. Достижения</w:t>
      </w:r>
    </w:p>
    <w:p>
      <w:pPr>
        <w:pStyle w:val="ListBullet"/>
      </w:pPr>
      <w:r>
        <w:t>Расчёты выполняются за 10 р.д., включая период смены НДС (декабрь 2025 → январь 2026)</w:t>
      </w:r>
    </w:p>
    <w:p>
      <w:pPr>
        <w:pStyle w:val="ListBullet"/>
      </w:pPr>
      <w:r>
        <w:t>Разработана и утверждена система мотивации сотрудников отдела</w:t>
      </w:r>
    </w:p>
    <w:p>
      <w:pPr>
        <w:pStyle w:val="ListBullet"/>
      </w:pPr>
      <w:r>
        <w:t>Утверждён опросный лист для запуска проекта Аутсорсинг</w:t>
      </w:r>
    </w:p>
    <w:p>
      <w:pPr>
        <w:pStyle w:val="ListBullet"/>
      </w:pPr>
      <w:r>
        <w:t>Регулярное оповещение менеджеров об окончании договоров Классика и Аутсорсинг</w:t>
      </w:r>
    </w:p>
    <w:p>
      <w:pPr>
        <w:pStyle w:val="ListBullet"/>
      </w:pPr>
      <w:r>
        <w:t>Налажено регулярное выставление счетов и закрывающих документов по Классике</w:t>
      </w:r>
    </w:p>
    <w:p>
      <w:pPr>
        <w:pStyle w:val="ListBullet"/>
      </w:pPr>
      <w:r>
        <w:t>Завершено планирование доставок картриджей для малых проектов на оригинале</w:t>
      </w:r>
    </w:p>
    <w:p>
      <w:pPr>
        <w:pStyle w:val="ListBullet"/>
      </w:pPr>
      <w:r>
        <w:t>Поставлена работа по своевременной оплате счетов Заказчиками</w:t>
      </w:r>
    </w:p>
    <w:p>
      <w:pPr>
        <w:pStyle w:val="Heading2"/>
      </w:pPr>
      <w:r>
        <w:t>3.4. Планы</w:t>
      </w:r>
    </w:p>
    <w:p>
      <w:pPr>
        <w:pStyle w:val="ListBullet"/>
      </w:pPr>
      <w:r>
        <w:t>Средние и большие проекты на оригинале — следующий этап планирования</w:t>
      </w:r>
    </w:p>
    <w:p>
      <w:pPr>
        <w:pStyle w:val="ListBullet"/>
      </w:pPr>
      <w:r>
        <w:t>Доп. коэффициент мотивации для менеджеров по региональным партнёрам</w:t>
      </w:r>
    </w:p>
    <w:p>
      <w:pPr>
        <w:pStyle w:val="ListBullet"/>
      </w:pPr>
      <w:r>
        <w:t>Привлечение маркетинга для расчёта картриджей с помощью ИИ</w:t>
      </w:r>
    </w:p>
    <w:p>
      <w:pPr>
        <w:pStyle w:val="ListBullet"/>
      </w:pPr>
      <w:r>
        <w:t>Регулярный анализ фактического потребления картриджей</w:t>
      </w:r>
    </w:p>
    <w:p>
      <w:pPr>
        <w:pStyle w:val="ListBullet"/>
      </w:pPr>
      <w:r>
        <w:t>Сопоставление отгрузки и выставляемых счетов — контроль прибыльности проектов</w:t>
      </w:r>
    </w:p>
    <w:p>
      <w:pPr>
        <w:pStyle w:val="ListBullet"/>
      </w:pPr>
      <w:r>
        <w:t>Запуск программы мониторинга «Леком Треккер»</w:t>
      </w:r>
    </w:p>
    <w:p>
      <w:pPr>
        <w:pStyle w:val="Heading1"/>
      </w:pPr>
      <w:r>
        <w:t>4. Отдел закупок</w:t>
      </w:r>
    </w:p>
    <w:p>
      <w:pPr>
        <w:pStyle w:val="Heading2"/>
      </w:pPr>
      <w:r>
        <w:t>4.1. Управление товарным запасом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Оборачиваемость склада (общая)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6,28 мес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Оборачиваемость: устройства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 мес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Оборачиваемость: расходные материалы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4,5 мес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Залежалый товар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$624 379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Ведётся реализация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Макс. скорость поставки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 день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после утверждения счёта</w:t>
            </w:r>
          </w:p>
        </w:tc>
      </w:tr>
    </w:tbl>
    <w:p/>
    <w:p>
      <w:pPr>
        <w:pStyle w:val="Heading2"/>
      </w:pPr>
      <w:r>
        <w:t>4.2. Работа с поставщиками</w:t>
      </w:r>
    </w:p>
    <w:p>
      <w:r>
        <w:t>Достигнуты отсрочки платежей с ключевыми поставщиками: ОпТон (14 дней), Сервер ЗИП (7 дней), КВК Трейд (5 дней), Клотис Трейд (7 дней). Крупнейшие поставщики (Треолан, О-Си-Эс, Ресурс-Медиа, ТИС) предоставляют отсрочку 30 дней.</w:t>
      </w:r>
    </w:p>
    <w:p>
      <w:pPr>
        <w:pStyle w:val="Heading3"/>
      </w:pPr>
      <w:r>
        <w:t>ТОП-10 поставщиков 2025 по обороту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2024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2025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Изменение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Треолан (Ланит)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10,4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94,8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+813%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ПиЭйч Инк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37,4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74,4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+99%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О-Си-Эс-Центр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22,8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36,9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+62%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АЙКЬЮТЕК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12,5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24,4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+95%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Ресурс-Медиа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17,4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21,9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+26%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Фёрст Рейт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19,5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новый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Зазеркалье-Сервис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6,0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15,5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+158%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КОВА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3,3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14,5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+339%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Эйд-поставщик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22,8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12,5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-45%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FCA Group (Китай)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3,6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8,4 млн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>+133%</w:t>
            </w:r>
          </w:p>
        </w:tc>
      </w:tr>
    </w:tbl>
    <w:p/>
    <w:p>
      <w:pPr>
        <w:pStyle w:val="Heading2"/>
      </w:pPr>
      <w:r>
        <w:t>4.3. Автоматизация</w:t>
      </w:r>
    </w:p>
    <w:p>
      <w:pPr>
        <w:pStyle w:val="ListBullet"/>
      </w:pPr>
      <w:r>
        <w:t>Автоматическая загрузка цен с порталов 8 поставщиков: A1tis, ChipCart, Marvel, OCS, Rapid, ResursMedia, Treolan, VTT</w:t>
      </w:r>
    </w:p>
    <w:p>
      <w:pPr>
        <w:pStyle w:val="ListBullet"/>
      </w:pPr>
      <w:r>
        <w:t>Вручную загружаются: ПиэйчИнк, АВТ</w:t>
      </w:r>
    </w:p>
    <w:p>
      <w:pPr>
        <w:pStyle w:val="ListBullet"/>
      </w:pPr>
      <w:r>
        <w:t>Внедрены буферы запаса в AVA для пополнения самыми оборачиваемыми товарами</w:t>
      </w:r>
    </w:p>
    <w:p>
      <w:pPr>
        <w:pStyle w:val="ListBullet"/>
      </w:pPr>
      <w:r>
        <w:t>Сервис s4b — мониторинг лучших цен и поиск новых поставщиков</w:t>
      </w:r>
    </w:p>
    <w:p>
      <w:pPr>
        <w:pStyle w:val="ListBullet"/>
      </w:pPr>
      <w:r>
        <w:t>Совместно с отделом продаж — реализация залежалого товара через s4b</w:t>
      </w:r>
    </w:p>
    <w:p>
      <w:pPr>
        <w:pStyle w:val="ListBullet"/>
      </w:pPr>
      <w:r>
        <w:t>Сбор статистики неудовлетворённого спроса</w:t>
      </w:r>
    </w:p>
    <w:p>
      <w:pPr>
        <w:pStyle w:val="ListBullet"/>
      </w:pPr>
      <w:r>
        <w:t>В планах: автоматизированное прогнозирование на алгоритмах AVA</w:t>
      </w:r>
    </w:p>
    <w:p>
      <w:pPr>
        <w:pStyle w:val="Heading1"/>
      </w:pPr>
      <w:r>
        <w:t>5. Управление логистикой</w:t>
      </w:r>
    </w:p>
    <w:p>
      <w:pPr>
        <w:pStyle w:val="Heading2"/>
      </w:pPr>
      <w:r>
        <w:t>5.1. Ключевые достижения</w:t>
      </w:r>
    </w:p>
    <w:p>
      <w:pPr>
        <w:pStyle w:val="ListBullet"/>
      </w:pPr>
      <w:r>
        <w:t>Склады «Большие Вязёмы» и «Водник» введены в полную эксплуатацию</w:t>
      </w:r>
    </w:p>
    <w:p>
      <w:pPr>
        <w:pStyle w:val="ListBullet"/>
      </w:pPr>
      <w:r>
        <w:t>Сокращение хранения на СО-Лоджистикс: остаток 320 м3, экономия до 360 000 руб./мес (vs сентябрь 2025)</w:t>
      </w:r>
    </w:p>
    <w:p>
      <w:pPr>
        <w:pStyle w:val="ListBullet"/>
      </w:pPr>
      <w:r>
        <w:t>Весь товар и техника перемещены со склада «Первомайская 11» на «Водник», проведена инвентаризация</w:t>
      </w:r>
    </w:p>
    <w:p>
      <w:pPr>
        <w:pStyle w:val="ListBullet"/>
      </w:pPr>
      <w:r>
        <w:t>В AVA внедрена очерёдность доставок водителей и курьеров</w:t>
      </w:r>
    </w:p>
    <w:p>
      <w:pPr>
        <w:pStyle w:val="ListBullet"/>
      </w:pPr>
      <w:r>
        <w:t>Расходы на доставку ТК привязаны к проектам и счетам для аналитики</w:t>
      </w:r>
    </w:p>
    <w:p>
      <w:pPr>
        <w:pStyle w:val="ListBullet"/>
      </w:pPr>
      <w:r>
        <w:t>Инвентаризация ТМЦ сотрудников — всё приведено к соответствию</w:t>
      </w:r>
    </w:p>
    <w:p>
      <w:pPr>
        <w:pStyle w:val="ListBullet"/>
      </w:pPr>
      <w:r>
        <w:t>Выстроен процесс согласования типа и сроков доставки с отделами закупок и продаж</w:t>
      </w:r>
    </w:p>
    <w:p>
      <w:pPr>
        <w:pStyle w:val="ListBullet"/>
      </w:pPr>
      <w:r>
        <w:t>Информирование сопровождения и продаж о запланированных маршрутах</w:t>
      </w:r>
    </w:p>
    <w:p>
      <w:pPr>
        <w:pStyle w:val="Heading2"/>
      </w:pPr>
      <w:r>
        <w:t>5.2. Планы на 2026</w:t>
      </w:r>
    </w:p>
    <w:p>
      <w:pPr>
        <w:pStyle w:val="ListBullet"/>
      </w:pPr>
      <w:r>
        <w:t>Сократить объём на СО-Лоджистикс до минимума</w:t>
      </w:r>
    </w:p>
    <w:p>
      <w:pPr>
        <w:pStyle w:val="ListBullet"/>
      </w:pPr>
      <w:r>
        <w:t>Повторная инвентаризация до конца 2026</w:t>
      </w:r>
    </w:p>
    <w:p>
      <w:pPr>
        <w:pStyle w:val="ListBullet"/>
      </w:pPr>
      <w:r>
        <w:t>Плановый режим доставок для покопийных контрактов — опережение потребностей клиента</w:t>
      </w:r>
    </w:p>
    <w:p>
      <w:pPr>
        <w:pStyle w:val="ListBullet"/>
      </w:pPr>
      <w:r>
        <w:t>Информирование отделов сопровождения и продаж о маршрутах</w:t>
      </w:r>
    </w:p>
    <w:p>
      <w:pPr>
        <w:pStyle w:val="Heading1"/>
      </w:pPr>
      <w:r>
        <w:t>6. Бизнес-аналитика (Мизюк В.Д.)</w:t>
      </w:r>
    </w:p>
    <w:p>
      <w:pPr>
        <w:pStyle w:val="Heading2"/>
      </w:pPr>
      <w:r>
        <w:t>6.1. Реализованные задачи</w:t>
      </w:r>
    </w:p>
    <w:p>
      <w:pPr>
        <w:pStyle w:val="ListBullet"/>
      </w:pPr>
      <w:r>
        <w:t>Улучшен бизнес-процесс ведения договоров: описание, доп. соглашения, реестр на Google диске</w:t>
      </w:r>
    </w:p>
    <w:p>
      <w:pPr>
        <w:pStyle w:val="ListBullet"/>
      </w:pPr>
      <w:r>
        <w:t>Реализована система хранения файлов договоров для удалённого доступа</w:t>
      </w:r>
    </w:p>
    <w:p>
      <w:pPr>
        <w:pStyle w:val="ListBullet"/>
      </w:pPr>
      <w:r>
        <w:t>AVA: очерёдность доставок для информирования сотрудников (#585)</w:t>
      </w:r>
    </w:p>
    <w:p>
      <w:pPr>
        <w:pStyle w:val="ListBullet"/>
      </w:pPr>
      <w:r>
        <w:t>AVA: данные по разнице закупочной и инвойсной цен (#630)</w:t>
      </w:r>
    </w:p>
    <w:p>
      <w:pPr>
        <w:pStyle w:val="ListBullet"/>
      </w:pPr>
      <w:r>
        <w:t>AVA: привязка заявок на транспорт к проектам (#529)</w:t>
      </w:r>
    </w:p>
    <w:p>
      <w:pPr>
        <w:pStyle w:val="ListBullet"/>
      </w:pPr>
      <w:r>
        <w:t>Критерии для выбора товарных позиций при закупке (#483)</w:t>
      </w:r>
    </w:p>
    <w:p>
      <w:pPr>
        <w:pStyle w:val="ListBullet"/>
      </w:pPr>
      <w:r>
        <w:t>Схема формирования буфера запаса без привязки к офису (#482)</w:t>
      </w:r>
    </w:p>
    <w:p>
      <w:pPr>
        <w:pStyle w:val="Heading2"/>
      </w:pPr>
      <w:r>
        <w:t>6.2. В процессе</w:t>
      </w:r>
    </w:p>
    <w:p>
      <w:pPr>
        <w:pStyle w:val="ListBullet"/>
      </w:pPr>
      <w:r>
        <w:t>Воронки продаж — выбор между AVA и Битрикс</w:t>
      </w:r>
    </w:p>
    <w:p>
      <w:pPr>
        <w:pStyle w:val="ListBullet"/>
      </w:pPr>
      <w:r>
        <w:t>Взаимодействие менеджеров и инженеров сервисного центра (#640)</w:t>
      </w:r>
    </w:p>
    <w:p>
      <w:pPr>
        <w:pStyle w:val="ListBullet"/>
      </w:pPr>
      <w:r>
        <w:t>Долгосрочное планирование закупок для Аутсорсинга (#639)</w:t>
      </w:r>
    </w:p>
    <w:p>
      <w:pPr>
        <w:pStyle w:val="ListBullet"/>
      </w:pPr>
      <w:r>
        <w:t>Оценка 10 договоров с поставщиками через ИИ (#480)</w:t>
      </w:r>
    </w:p>
    <w:p>
      <w:pPr>
        <w:pStyle w:val="ListBullet"/>
      </w:pPr>
      <w:r>
        <w:t>Цветовая индикация сроков договоров — светофор в AVA (#481)</w:t>
      </w:r>
    </w:p>
    <w:p>
      <w:pPr>
        <w:pStyle w:val="ListBullet"/>
      </w:pPr>
      <w:r>
        <w:t>Измерение интервалов между статусами — эффективность инженеров (#496)</w:t>
      </w:r>
    </w:p>
    <w:p>
      <w:pPr>
        <w:pStyle w:val="ListBullet"/>
      </w:pPr>
      <w:r>
        <w:t>Прогноз потребления картриджей и ЗИП (#581)</w:t>
      </w:r>
    </w:p>
    <w:p>
      <w:pPr>
        <w:pStyle w:val="ListBullet"/>
      </w:pPr>
      <w:r>
        <w:t>Подготовка к работе с «Честным знаком» (#629)</w:t>
      </w:r>
    </w:p>
    <w:p>
      <w:pPr>
        <w:pStyle w:val="ListBullet"/>
      </w:pPr>
      <w:r>
        <w:t>Умный калькулятор ЛЕКОМ (#485)</w:t>
      </w:r>
    </w:p>
    <w:p>
      <w:pPr>
        <w:pStyle w:val="Heading2"/>
      </w:pPr>
      <w:r>
        <w:t>6.3. Приоритеты на 2026</w:t>
      </w:r>
    </w:p>
    <w:p>
      <w:pPr>
        <w:pStyle w:val="ListBullet"/>
      </w:pPr>
      <w:r>
        <w:t>Доработка согласования договоров (Битрикс или ИИ-решение с Р. Карпенко)</w:t>
      </w:r>
    </w:p>
    <w:p>
      <w:pPr>
        <w:pStyle w:val="ListBullet"/>
      </w:pPr>
      <w:r>
        <w:t>Внедрение воронок продаж</w:t>
      </w:r>
    </w:p>
    <w:p>
      <w:pPr>
        <w:pStyle w:val="ListBullet"/>
      </w:pPr>
      <w:r>
        <w:t>Умный калькулятор ЛЕКОМ</w:t>
      </w:r>
    </w:p>
    <w:p>
      <w:pPr>
        <w:pStyle w:val="ListBullet"/>
      </w:pPr>
      <w:r>
        <w:t>Бюджетирование — план-факт анализ</w:t>
      </w:r>
    </w:p>
    <w:p>
      <w:pPr>
        <w:pStyle w:val="Heading1"/>
      </w:pPr>
      <w:r>
        <w:t>7. Отдел маркетинга</w:t>
      </w:r>
    </w:p>
    <w:p>
      <w:pPr/>
      <w:r>
        <w:t>Данные по отделу маркетинга ожидаются. Раздел будет дополнен после получения информации о KPI, кампаниях и результатах работы отдела за 2025 год.</w:t>
      </w:r>
    </w:p>
    <w:p>
      <w:r>
        <w:br w:type="page"/>
      </w:r>
    </w:p>
    <w:p>
      <w:pPr>
        <w:jc w:val="center"/>
      </w:pPr>
      <w:r>
        <w:rPr>
          <w:color w:val="6B7280"/>
          <w:sz w:val="20"/>
        </w:rPr>
        <w:t>ООО «Леком» — Итоги 2025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12" w:lineRule="auto"/>
    </w:pPr>
    <w:rPr>
      <w:rFonts w:ascii="Segoe UI" w:hAnsi="Segoe UI"/>
      <w:color w:val="1F213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egoe UI" w:hAnsi="Segoe UI"/>
      <w:b/>
      <w:bCs/>
      <w:color w:val="1A56DB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 w:ascii="Segoe UI" w:hAnsi="Segoe UI"/>
      <w:b/>
      <w:bCs/>
      <w:color w:val="1A56DB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 w:ascii="Segoe UI" w:hAnsi="Segoe UI"/>
      <w:b/>
      <w:bCs/>
      <w:color w:val="1A56DB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